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8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18.03.2020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6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9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right="9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right="120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right="87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36"/>
              <w:rPr>
                <w:sz w:val="17"/>
              </w:rPr>
            </w:pPr>
            <w:r>
              <w:rPr>
                <w:sz w:val="17"/>
              </w:rPr>
              <w:t>Про схвалення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проекту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52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VII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18.11.2019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8/1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місцевий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(2310700000)»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18/03/2020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33" w:right="126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00" w:right="196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right="137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58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повноважень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посадовим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особам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Мелітопольської 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складати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протоколи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 адміністративні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правопорушення,</w:t>
            </w:r>
          </w:p>
          <w:p>
            <w:pPr>
              <w:pStyle w:val="TableParagraph"/>
              <w:spacing w:line="271" w:lineRule="auto"/>
              <w:ind w:left="30" w:right="37"/>
              <w:rPr>
                <w:sz w:val="17"/>
              </w:rPr>
            </w:pPr>
            <w:r>
              <w:rPr>
                <w:sz w:val="17"/>
              </w:rPr>
              <w:t>передбачені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статтею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44-3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Кодексу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адміністративні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правопорушення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18/03/2020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33" w:right="126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00" w:right="196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right="137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2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52" w:right="172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2021-09-15T04:19:57Z</dcterms:created>
  <dcterms:modified xsi:type="dcterms:W3CDTF">2021-09-15T04:19:57Z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